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FFA32" w14:textId="17583D26" w:rsidR="00D6549F" w:rsidRDefault="002B16BF" w:rsidP="00E9072D">
      <w:pPr>
        <w:spacing w:after="0" w:line="240" w:lineRule="auto"/>
        <w:jc w:val="center"/>
        <w:rPr>
          <w:rFonts w:ascii="Arial" w:hAnsi="Arial" w:cs="Arial"/>
          <w:b/>
          <w:bCs/>
          <w:sz w:val="24"/>
          <w:szCs w:val="24"/>
        </w:rPr>
      </w:pPr>
      <w:r w:rsidRPr="008147B4">
        <w:rPr>
          <w:rFonts w:ascii="Arial" w:hAnsi="Arial" w:cs="Arial"/>
          <w:b/>
          <w:bCs/>
          <w:sz w:val="24"/>
          <w:szCs w:val="24"/>
        </w:rPr>
        <w:t xml:space="preserve">Cost </w:t>
      </w:r>
      <w:r w:rsidR="00F7758E" w:rsidRPr="008147B4">
        <w:rPr>
          <w:rFonts w:ascii="Arial" w:hAnsi="Arial" w:cs="Arial"/>
          <w:b/>
          <w:bCs/>
          <w:sz w:val="24"/>
          <w:szCs w:val="24"/>
        </w:rPr>
        <w:t>Sheet</w:t>
      </w:r>
    </w:p>
    <w:p w14:paraId="1A9D81DE" w14:textId="049FFC53" w:rsidR="00E9072D" w:rsidRDefault="00E9072D" w:rsidP="00E9072D">
      <w:pPr>
        <w:spacing w:after="0" w:line="240" w:lineRule="auto"/>
        <w:jc w:val="center"/>
        <w:rPr>
          <w:rFonts w:ascii="Arial" w:hAnsi="Arial" w:cs="Arial"/>
          <w:b/>
          <w:bCs/>
          <w:sz w:val="24"/>
          <w:szCs w:val="24"/>
        </w:rPr>
      </w:pPr>
      <w:r>
        <w:rPr>
          <w:rFonts w:ascii="Arial" w:hAnsi="Arial" w:cs="Arial"/>
          <w:b/>
          <w:bCs/>
          <w:sz w:val="24"/>
          <w:szCs w:val="24"/>
        </w:rPr>
        <w:t xml:space="preserve">RFP </w:t>
      </w:r>
      <w:r w:rsidR="006F1503">
        <w:rPr>
          <w:rFonts w:ascii="Arial" w:hAnsi="Arial" w:cs="Arial"/>
          <w:b/>
          <w:bCs/>
          <w:sz w:val="24"/>
          <w:szCs w:val="24"/>
        </w:rPr>
        <w:t>120648</w:t>
      </w:r>
      <w:r>
        <w:rPr>
          <w:rFonts w:ascii="Arial" w:hAnsi="Arial" w:cs="Arial"/>
          <w:b/>
          <w:bCs/>
          <w:sz w:val="24"/>
          <w:szCs w:val="24"/>
        </w:rPr>
        <w:t xml:space="preserve"> O3</w:t>
      </w:r>
    </w:p>
    <w:p w14:paraId="4DF338EB" w14:textId="7FB3BE4C" w:rsidR="00E9072D" w:rsidRPr="008147B4" w:rsidRDefault="001F371F" w:rsidP="00046BCD">
      <w:pPr>
        <w:jc w:val="center"/>
        <w:rPr>
          <w:rFonts w:ascii="Arial" w:hAnsi="Arial" w:cs="Arial"/>
          <w:b/>
          <w:bCs/>
          <w:sz w:val="24"/>
          <w:szCs w:val="24"/>
        </w:rPr>
      </w:pPr>
      <w:r>
        <w:rPr>
          <w:rFonts w:ascii="Arial" w:hAnsi="Arial" w:cs="Arial"/>
          <w:b/>
          <w:bCs/>
          <w:sz w:val="24"/>
          <w:szCs w:val="24"/>
        </w:rPr>
        <w:t xml:space="preserve">Overdose to Action in States (OD2A-S) </w:t>
      </w:r>
    </w:p>
    <w:p w14:paraId="081059B4" w14:textId="77777777" w:rsidR="00323DFD" w:rsidRDefault="00323DFD" w:rsidP="00323DFD">
      <w:pPr>
        <w:spacing w:after="0" w:line="240" w:lineRule="auto"/>
        <w:rPr>
          <w:rFonts w:ascii="Arial" w:hAnsi="Arial" w:cs="Arial"/>
          <w:b/>
          <w:bCs/>
          <w:kern w:val="0"/>
          <w:sz w:val="18"/>
          <w:szCs w:val="18"/>
          <w14:ligatures w14:val="none"/>
        </w:rPr>
      </w:pPr>
    </w:p>
    <w:p w14:paraId="3643A71F" w14:textId="39F87F9E" w:rsidR="00E9072D" w:rsidRPr="008147B4" w:rsidRDefault="00E9072D" w:rsidP="00323DFD">
      <w:pPr>
        <w:spacing w:after="0" w:line="240" w:lineRule="auto"/>
        <w:rPr>
          <w:rFonts w:ascii="Arial" w:hAnsi="Arial" w:cs="Arial"/>
          <w:b/>
          <w:bCs/>
          <w:kern w:val="0"/>
          <w:sz w:val="18"/>
          <w:szCs w:val="18"/>
          <w14:ligatures w14:val="none"/>
        </w:rPr>
      </w:pPr>
      <w:r w:rsidRPr="008147B4">
        <w:rPr>
          <w:rFonts w:ascii="Arial" w:hAnsi="Arial" w:cs="Arial"/>
          <w:kern w:val="0"/>
          <w:sz w:val="20"/>
          <w:szCs w:val="20"/>
          <w14:ligatures w14:val="none"/>
        </w:rPr>
        <w:t xml:space="preserve">Bidder’s Company Name:  </w:t>
      </w:r>
      <w:r>
        <w:rPr>
          <w:rFonts w:ascii="Arial" w:hAnsi="Arial" w:cs="Arial"/>
          <w:kern w:val="0"/>
          <w:sz w:val="20"/>
          <w:szCs w:val="20"/>
          <w14:ligatures w14:val="none"/>
        </w:rPr>
        <w:t>___________________________</w:t>
      </w:r>
    </w:p>
    <w:p w14:paraId="52786ADC" w14:textId="5B1B6E17" w:rsidR="00E9072D" w:rsidRDefault="00E9072D" w:rsidP="00323DFD">
      <w:pPr>
        <w:spacing w:after="0" w:line="240" w:lineRule="auto"/>
        <w:rPr>
          <w:rFonts w:ascii="Arial" w:hAnsi="Arial" w:cs="Arial"/>
          <w:b/>
          <w:bCs/>
          <w:kern w:val="0"/>
          <w:sz w:val="20"/>
          <w:szCs w:val="20"/>
          <w14:ligatures w14:val="none"/>
        </w:rPr>
      </w:pP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r>
        <w:rPr>
          <w:rFonts w:ascii="Arial" w:hAnsi="Arial" w:cs="Arial"/>
          <w:b/>
          <w:bCs/>
          <w:kern w:val="0"/>
          <w:sz w:val="20"/>
          <w:szCs w:val="20"/>
          <w14:ligatures w14:val="none"/>
        </w:rPr>
        <w:tab/>
      </w:r>
    </w:p>
    <w:p w14:paraId="032B126E" w14:textId="77777777" w:rsidR="00E9072D" w:rsidRDefault="00E9072D" w:rsidP="00323DFD">
      <w:pPr>
        <w:spacing w:after="0" w:line="240" w:lineRule="auto"/>
        <w:rPr>
          <w:rFonts w:ascii="Arial" w:hAnsi="Arial" w:cs="Arial"/>
          <w:b/>
          <w:bCs/>
          <w:kern w:val="0"/>
          <w:sz w:val="20"/>
          <w:szCs w:val="20"/>
          <w14:ligatures w14:val="none"/>
        </w:rPr>
      </w:pPr>
    </w:p>
    <w:p w14:paraId="7CA0AF1B" w14:textId="2C85FFC3" w:rsidR="00BD5140" w:rsidRPr="00BD5140" w:rsidRDefault="008147B4" w:rsidP="00BD5140">
      <w:pPr>
        <w:spacing w:after="0" w:line="240" w:lineRule="auto"/>
        <w:rPr>
          <w:rFonts w:ascii="Arial" w:hAnsi="Arial" w:cs="Arial"/>
          <w:kern w:val="0"/>
          <w:sz w:val="20"/>
          <w:szCs w:val="20"/>
          <w14:ligatures w14:val="none"/>
        </w:rPr>
      </w:pPr>
      <w:r>
        <w:rPr>
          <w:rFonts w:ascii="Arial" w:hAnsi="Arial" w:cs="Arial"/>
          <w:b/>
          <w:bCs/>
          <w:kern w:val="0"/>
          <w:sz w:val="20"/>
          <w:szCs w:val="20"/>
          <w14:ligatures w14:val="none"/>
        </w:rPr>
        <w:t xml:space="preserve">Important </w:t>
      </w:r>
      <w:r w:rsidR="00323DFD" w:rsidRPr="008147B4">
        <w:rPr>
          <w:rFonts w:ascii="Arial" w:hAnsi="Arial" w:cs="Arial"/>
          <w:b/>
          <w:bCs/>
          <w:kern w:val="0"/>
          <w:sz w:val="20"/>
          <w:szCs w:val="20"/>
          <w14:ligatures w14:val="none"/>
        </w:rPr>
        <w:t>Instructions:</w:t>
      </w:r>
      <w:r w:rsidR="00323DFD" w:rsidRPr="008147B4">
        <w:rPr>
          <w:rFonts w:ascii="Arial" w:hAnsi="Arial" w:cs="Arial"/>
          <w:kern w:val="0"/>
          <w:sz w:val="20"/>
          <w:szCs w:val="20"/>
          <w14:ligatures w14:val="none"/>
        </w:rPr>
        <w:t xml:space="preserve">  Bidders </w:t>
      </w:r>
      <w:r w:rsidR="00520EDE">
        <w:rPr>
          <w:rFonts w:ascii="Arial" w:hAnsi="Arial" w:cs="Arial"/>
          <w:kern w:val="0"/>
          <w:sz w:val="20"/>
          <w:szCs w:val="20"/>
          <w14:ligatures w14:val="none"/>
        </w:rPr>
        <w:t>must</w:t>
      </w:r>
      <w:r w:rsidR="00323DFD" w:rsidRPr="008147B4">
        <w:rPr>
          <w:rFonts w:ascii="Arial" w:hAnsi="Arial" w:cs="Arial"/>
          <w:kern w:val="0"/>
          <w:sz w:val="20"/>
          <w:szCs w:val="20"/>
          <w14:ligatures w14:val="none"/>
        </w:rPr>
        <w:t xml:space="preserve"> complete all fields highlighted in yellow</w:t>
      </w:r>
      <w:r w:rsidR="00B31923">
        <w:rPr>
          <w:rFonts w:ascii="Arial" w:hAnsi="Arial" w:cs="Arial"/>
          <w:kern w:val="0"/>
          <w:sz w:val="20"/>
          <w:szCs w:val="20"/>
          <w14:ligatures w14:val="none"/>
        </w:rPr>
        <w:t xml:space="preserve"> including a sum for the “Total Overall Cost”</w:t>
      </w:r>
      <w:r w:rsidR="00323DFD" w:rsidRPr="008147B4">
        <w:rPr>
          <w:rFonts w:ascii="Arial" w:hAnsi="Arial" w:cs="Arial"/>
          <w:kern w:val="0"/>
          <w:sz w:val="20"/>
          <w:szCs w:val="20"/>
          <w14:ligatures w14:val="none"/>
        </w:rPr>
        <w:t xml:space="preserve">.   Do not alter </w:t>
      </w:r>
      <w:r w:rsidR="00AA0D03">
        <w:rPr>
          <w:rFonts w:ascii="Arial" w:hAnsi="Arial" w:cs="Arial"/>
          <w:kern w:val="0"/>
          <w:sz w:val="20"/>
          <w:szCs w:val="20"/>
          <w14:ligatures w14:val="none"/>
        </w:rPr>
        <w:t xml:space="preserve">the </w:t>
      </w:r>
      <w:r w:rsidR="00323DFD" w:rsidRPr="008147B4">
        <w:rPr>
          <w:rFonts w:ascii="Arial" w:hAnsi="Arial" w:cs="Arial"/>
          <w:kern w:val="0"/>
          <w:sz w:val="20"/>
          <w:szCs w:val="20"/>
          <w14:ligatures w14:val="none"/>
        </w:rPr>
        <w:t>existing format or content within t</w:t>
      </w:r>
      <w:r w:rsidRPr="008147B4">
        <w:rPr>
          <w:rFonts w:ascii="Arial" w:hAnsi="Arial" w:cs="Arial"/>
          <w:kern w:val="0"/>
          <w:sz w:val="20"/>
          <w:szCs w:val="20"/>
          <w14:ligatures w14:val="none"/>
        </w:rPr>
        <w:t>his Cost Sheet</w:t>
      </w:r>
      <w:r w:rsidR="00323DFD" w:rsidRPr="008147B4">
        <w:rPr>
          <w:rFonts w:ascii="Arial" w:hAnsi="Arial" w:cs="Arial"/>
          <w:kern w:val="0"/>
          <w:sz w:val="20"/>
          <w:szCs w:val="20"/>
          <w14:ligatures w14:val="none"/>
        </w:rPr>
        <w:t xml:space="preserve">.  </w:t>
      </w:r>
      <w:r w:rsidR="00A667AF">
        <w:rPr>
          <w:rFonts w:ascii="Arial" w:hAnsi="Arial" w:cs="Arial"/>
          <w:kern w:val="0"/>
          <w:sz w:val="20"/>
          <w:szCs w:val="20"/>
          <w14:ligatures w14:val="none"/>
        </w:rPr>
        <w:t xml:space="preserve"> </w:t>
      </w:r>
      <w:r w:rsidR="00BD5140" w:rsidRPr="00BD5140">
        <w:rPr>
          <w:rFonts w:ascii="Arial" w:hAnsi="Arial" w:cs="Arial"/>
          <w:kern w:val="0"/>
          <w:sz w:val="20"/>
          <w:szCs w:val="20"/>
          <w14:ligatures w14:val="none"/>
        </w:rPr>
        <w:t>Prices quoted shall be net, including transportation and delivery charges fully prepaid by the bidder, F.O.B. destination named in the Solicitation. No additional charges will be allowed for packing, packages, or partial delivery costs. When an arithmetic error has been made in the extended total, the unit price will govern.</w:t>
      </w:r>
    </w:p>
    <w:p w14:paraId="3FAD9F53" w14:textId="77777777" w:rsidR="00BD5140" w:rsidRDefault="00BD5140" w:rsidP="00323DFD">
      <w:pPr>
        <w:spacing w:after="0" w:line="240" w:lineRule="auto"/>
        <w:rPr>
          <w:rFonts w:ascii="Arial" w:hAnsi="Arial" w:cs="Arial"/>
          <w:kern w:val="0"/>
          <w:sz w:val="20"/>
          <w:szCs w:val="20"/>
          <w14:ligatures w14:val="none"/>
        </w:rPr>
      </w:pPr>
    </w:p>
    <w:p w14:paraId="5BE8FE18" w14:textId="51B7AB2D" w:rsidR="008147B4" w:rsidRDefault="00520EDE" w:rsidP="00323DFD">
      <w:pPr>
        <w:spacing w:after="0" w:line="240" w:lineRule="auto"/>
        <w:rPr>
          <w:rFonts w:ascii="Arial" w:hAnsi="Arial" w:cs="Arial"/>
          <w:kern w:val="0"/>
          <w:sz w:val="18"/>
          <w:szCs w:val="18"/>
          <w14:ligatures w14:val="none"/>
        </w:rPr>
      </w:pPr>
      <w:r w:rsidRPr="00520EDE">
        <w:rPr>
          <w:rFonts w:ascii="Arial" w:hAnsi="Arial" w:cs="Arial"/>
          <w:kern w:val="0"/>
          <w:sz w:val="20"/>
          <w:szCs w:val="20"/>
          <w14:ligatures w14:val="none"/>
        </w:rPr>
        <w:t>Th</w:t>
      </w:r>
      <w:r w:rsidR="00B31923">
        <w:rPr>
          <w:rFonts w:ascii="Arial" w:hAnsi="Arial" w:cs="Arial"/>
          <w:kern w:val="0"/>
          <w:sz w:val="20"/>
          <w:szCs w:val="20"/>
          <w14:ligatures w14:val="none"/>
        </w:rPr>
        <w:t xml:space="preserve">e prices indicated in </w:t>
      </w:r>
      <w:r w:rsidR="00B31923" w:rsidRPr="001D3603">
        <w:rPr>
          <w:rFonts w:ascii="Arial" w:hAnsi="Arial" w:cs="Arial"/>
          <w:b/>
          <w:bCs/>
          <w:kern w:val="0"/>
          <w:sz w:val="20"/>
          <w:szCs w:val="20"/>
          <w14:ligatures w14:val="none"/>
        </w:rPr>
        <w:t>Table 1</w:t>
      </w:r>
      <w:r w:rsidR="00B31923">
        <w:rPr>
          <w:rFonts w:ascii="Arial" w:hAnsi="Arial" w:cs="Arial"/>
          <w:kern w:val="0"/>
          <w:sz w:val="20"/>
          <w:szCs w:val="20"/>
          <w14:ligatures w14:val="none"/>
        </w:rPr>
        <w:t xml:space="preserve"> below shall </w:t>
      </w:r>
      <w:r w:rsidR="008147B4" w:rsidRPr="008147B4">
        <w:rPr>
          <w:rFonts w:ascii="Arial" w:hAnsi="Arial" w:cs="Arial"/>
          <w:kern w:val="0"/>
          <w:sz w:val="20"/>
          <w:szCs w:val="20"/>
          <w14:ligatures w14:val="none"/>
        </w:rPr>
        <w:t xml:space="preserve">reflect all </w:t>
      </w:r>
      <w:r>
        <w:rPr>
          <w:rFonts w:ascii="Arial" w:hAnsi="Arial" w:cs="Arial"/>
          <w:kern w:val="0"/>
          <w:sz w:val="20"/>
          <w:szCs w:val="20"/>
          <w14:ligatures w14:val="none"/>
        </w:rPr>
        <w:t xml:space="preserve">applicable fees </w:t>
      </w:r>
      <w:r w:rsidR="008147B4" w:rsidRPr="008147B4">
        <w:rPr>
          <w:rFonts w:ascii="Arial" w:hAnsi="Arial" w:cs="Arial"/>
          <w:kern w:val="0"/>
          <w:sz w:val="20"/>
          <w:szCs w:val="20"/>
          <w14:ligatures w14:val="none"/>
        </w:rPr>
        <w:t xml:space="preserve">necessary to perform the project requirements </w:t>
      </w:r>
      <w:r w:rsidR="00B31923">
        <w:rPr>
          <w:rFonts w:ascii="Arial" w:hAnsi="Arial" w:cs="Arial"/>
          <w:kern w:val="0"/>
          <w:sz w:val="20"/>
          <w:szCs w:val="20"/>
          <w14:ligatures w14:val="none"/>
        </w:rPr>
        <w:t xml:space="preserve">and deliverables </w:t>
      </w:r>
      <w:r w:rsidR="008147B4" w:rsidRPr="008147B4">
        <w:rPr>
          <w:rFonts w:ascii="Arial" w:hAnsi="Arial" w:cs="Arial"/>
          <w:kern w:val="0"/>
          <w:sz w:val="20"/>
          <w:szCs w:val="20"/>
          <w14:ligatures w14:val="none"/>
        </w:rPr>
        <w:t xml:space="preserve">as outlined in </w:t>
      </w:r>
      <w:r w:rsidR="001D3603">
        <w:rPr>
          <w:rFonts w:ascii="Arial" w:hAnsi="Arial" w:cs="Arial"/>
          <w:kern w:val="0"/>
          <w:sz w:val="20"/>
          <w:szCs w:val="20"/>
          <w14:ligatures w14:val="none"/>
        </w:rPr>
        <w:t xml:space="preserve">section </w:t>
      </w:r>
      <w:r w:rsidR="008147B4" w:rsidRPr="008147B4">
        <w:rPr>
          <w:rFonts w:ascii="Arial" w:hAnsi="Arial" w:cs="Arial"/>
          <w:kern w:val="0"/>
          <w:sz w:val="20"/>
          <w:szCs w:val="20"/>
          <w14:ligatures w14:val="none"/>
        </w:rPr>
        <w:t>(</w:t>
      </w:r>
      <w:r w:rsidR="00323DFD" w:rsidRPr="008147B4">
        <w:rPr>
          <w:rFonts w:ascii="Arial" w:hAnsi="Arial" w:cs="Arial"/>
          <w:kern w:val="0"/>
          <w:sz w:val="20"/>
          <w:szCs w:val="20"/>
          <w14:ligatures w14:val="none"/>
        </w:rPr>
        <w:t>VI) of the Request for Proposal (RFP) document and any related attachments</w:t>
      </w:r>
      <w:r w:rsidR="001D3603">
        <w:rPr>
          <w:rFonts w:ascii="Arial" w:hAnsi="Arial" w:cs="Arial"/>
          <w:kern w:val="0"/>
          <w:sz w:val="20"/>
          <w:szCs w:val="20"/>
          <w14:ligatures w14:val="none"/>
        </w:rPr>
        <w:t xml:space="preserve"> and/or documents</w:t>
      </w:r>
      <w:r w:rsidR="00323DFD" w:rsidRPr="008147B4">
        <w:rPr>
          <w:rFonts w:ascii="Arial" w:hAnsi="Arial" w:cs="Arial"/>
          <w:kern w:val="0"/>
          <w:sz w:val="20"/>
          <w:szCs w:val="20"/>
          <w14:ligatures w14:val="none"/>
        </w:rPr>
        <w:t xml:space="preserve">.  </w:t>
      </w:r>
    </w:p>
    <w:p w14:paraId="6E23650D" w14:textId="77777777" w:rsidR="008147B4" w:rsidRPr="008147B4" w:rsidRDefault="008147B4" w:rsidP="00323DFD">
      <w:pPr>
        <w:spacing w:after="0" w:line="240" w:lineRule="auto"/>
        <w:rPr>
          <w:rFonts w:ascii="Arial" w:hAnsi="Arial" w:cs="Arial"/>
          <w:kern w:val="0"/>
          <w:sz w:val="18"/>
          <w:szCs w:val="18"/>
          <w14:ligatures w14:val="none"/>
        </w:rPr>
      </w:pPr>
    </w:p>
    <w:p w14:paraId="13B052C4" w14:textId="375340E6" w:rsidR="008147B4" w:rsidRPr="001E25C6" w:rsidRDefault="008147B4" w:rsidP="00323DFD">
      <w:pPr>
        <w:spacing w:after="0" w:line="240" w:lineRule="auto"/>
        <w:rPr>
          <w:rFonts w:ascii="Arial" w:hAnsi="Arial" w:cs="Arial"/>
          <w:b/>
          <w:bCs/>
          <w:kern w:val="0"/>
          <w:sz w:val="18"/>
          <w:szCs w:val="18"/>
          <w14:ligatures w14:val="none"/>
        </w:rPr>
      </w:pPr>
      <w:r w:rsidRPr="001E25C6">
        <w:rPr>
          <w:rFonts w:ascii="Arial" w:hAnsi="Arial" w:cs="Arial"/>
          <w:b/>
          <w:bCs/>
          <w:kern w:val="0"/>
          <w:sz w:val="18"/>
          <w:szCs w:val="18"/>
          <w14:ligatures w14:val="none"/>
        </w:rPr>
        <w:t>Table 1:</w:t>
      </w:r>
    </w:p>
    <w:tbl>
      <w:tblPr>
        <w:tblStyle w:val="TableGrid"/>
        <w:tblpPr w:leftFromText="180" w:rightFromText="180" w:vertAnchor="text" w:horzAnchor="margin" w:tblpY="119"/>
        <w:tblW w:w="11335" w:type="dxa"/>
        <w:tblLook w:val="04A0" w:firstRow="1" w:lastRow="0" w:firstColumn="1" w:lastColumn="0" w:noHBand="0" w:noVBand="1"/>
      </w:tblPr>
      <w:tblGrid>
        <w:gridCol w:w="7609"/>
        <w:gridCol w:w="1109"/>
        <w:gridCol w:w="1109"/>
        <w:gridCol w:w="1508"/>
      </w:tblGrid>
      <w:tr w:rsidR="005919AA" w:rsidRPr="008147B4" w14:paraId="4FB2B972" w14:textId="77777777" w:rsidTr="006F1503">
        <w:tc>
          <w:tcPr>
            <w:tcW w:w="7609" w:type="dxa"/>
            <w:shd w:val="clear" w:color="auto" w:fill="D0CECE" w:themeFill="background2" w:themeFillShade="E6"/>
            <w:vAlign w:val="bottom"/>
          </w:tcPr>
          <w:p w14:paraId="0A3E0E11" w14:textId="77777777" w:rsidR="005919AA" w:rsidRPr="008147B4" w:rsidRDefault="005919AA" w:rsidP="008147B4">
            <w:pPr>
              <w:jc w:val="center"/>
              <w:rPr>
                <w:rFonts w:ascii="Arial" w:hAnsi="Arial" w:cs="Arial"/>
                <w:b/>
                <w:bCs/>
              </w:rPr>
            </w:pPr>
            <w:r w:rsidRPr="008147B4">
              <w:rPr>
                <w:rFonts w:ascii="Arial" w:hAnsi="Arial" w:cs="Arial"/>
                <w:b/>
                <w:bCs/>
              </w:rPr>
              <w:t>Description</w:t>
            </w:r>
          </w:p>
        </w:tc>
        <w:tc>
          <w:tcPr>
            <w:tcW w:w="1109" w:type="dxa"/>
            <w:shd w:val="clear" w:color="auto" w:fill="D0CECE" w:themeFill="background2" w:themeFillShade="E6"/>
            <w:vAlign w:val="bottom"/>
          </w:tcPr>
          <w:p w14:paraId="09AE653E" w14:textId="77777777" w:rsidR="005919AA" w:rsidRPr="008147B4" w:rsidRDefault="005919AA" w:rsidP="008147B4">
            <w:pPr>
              <w:rPr>
                <w:rFonts w:ascii="Arial" w:hAnsi="Arial" w:cs="Arial"/>
                <w:b/>
                <w:bCs/>
              </w:rPr>
            </w:pPr>
            <w:r w:rsidRPr="008147B4">
              <w:rPr>
                <w:rFonts w:ascii="Arial" w:hAnsi="Arial" w:cs="Arial"/>
                <w:b/>
                <w:bCs/>
              </w:rPr>
              <w:t>Unit of Measure</w:t>
            </w:r>
          </w:p>
          <w:p w14:paraId="026E9E72" w14:textId="77777777" w:rsidR="005919AA" w:rsidRPr="008147B4" w:rsidRDefault="005919AA" w:rsidP="008147B4">
            <w:pPr>
              <w:rPr>
                <w:rFonts w:ascii="Arial" w:hAnsi="Arial" w:cs="Arial"/>
                <w:b/>
                <w:bCs/>
              </w:rPr>
            </w:pPr>
            <w:r w:rsidRPr="008147B4">
              <w:rPr>
                <w:rFonts w:ascii="Arial" w:hAnsi="Arial" w:cs="Arial"/>
                <w:b/>
                <w:bCs/>
              </w:rPr>
              <w:t>(UOM)</w:t>
            </w:r>
          </w:p>
        </w:tc>
        <w:tc>
          <w:tcPr>
            <w:tcW w:w="1109" w:type="dxa"/>
            <w:shd w:val="clear" w:color="auto" w:fill="D0CECE" w:themeFill="background2" w:themeFillShade="E6"/>
            <w:vAlign w:val="bottom"/>
          </w:tcPr>
          <w:p w14:paraId="68C12140" w14:textId="77777777" w:rsidR="005919AA" w:rsidRPr="008147B4" w:rsidRDefault="005919AA" w:rsidP="008147B4">
            <w:pPr>
              <w:rPr>
                <w:rFonts w:ascii="Arial" w:hAnsi="Arial" w:cs="Arial"/>
                <w:b/>
                <w:bCs/>
              </w:rPr>
            </w:pPr>
            <w:r w:rsidRPr="008147B4">
              <w:rPr>
                <w:rFonts w:ascii="Arial" w:hAnsi="Arial" w:cs="Arial"/>
                <w:b/>
                <w:bCs/>
              </w:rPr>
              <w:t>Quantity</w:t>
            </w:r>
          </w:p>
        </w:tc>
        <w:tc>
          <w:tcPr>
            <w:tcW w:w="1508" w:type="dxa"/>
            <w:shd w:val="clear" w:color="auto" w:fill="D0CECE" w:themeFill="background2" w:themeFillShade="E6"/>
            <w:vAlign w:val="bottom"/>
          </w:tcPr>
          <w:p w14:paraId="3F2D80CB" w14:textId="18F976A1" w:rsidR="005919AA" w:rsidRPr="008147B4" w:rsidRDefault="005919AA" w:rsidP="008147B4">
            <w:pPr>
              <w:rPr>
                <w:rFonts w:ascii="Arial" w:hAnsi="Arial" w:cs="Arial"/>
                <w:b/>
                <w:bCs/>
              </w:rPr>
            </w:pPr>
            <w:r w:rsidRPr="008147B4">
              <w:rPr>
                <w:rFonts w:ascii="Arial" w:hAnsi="Arial" w:cs="Arial"/>
                <w:b/>
                <w:bCs/>
              </w:rPr>
              <w:t>Unit Price</w:t>
            </w:r>
          </w:p>
        </w:tc>
      </w:tr>
      <w:tr w:rsidR="008147B4" w:rsidRPr="008147B4" w14:paraId="756C6B5B" w14:textId="77777777" w:rsidTr="006F1503">
        <w:tc>
          <w:tcPr>
            <w:tcW w:w="11335" w:type="dxa"/>
            <w:gridSpan w:val="4"/>
          </w:tcPr>
          <w:p w14:paraId="1681321E" w14:textId="56F2E233" w:rsidR="008147B4" w:rsidRPr="008147B4" w:rsidRDefault="008147B4" w:rsidP="008147B4">
            <w:pPr>
              <w:rPr>
                <w:rFonts w:ascii="Arial" w:hAnsi="Arial" w:cs="Arial"/>
                <w:sz w:val="20"/>
                <w:szCs w:val="20"/>
              </w:rPr>
            </w:pPr>
          </w:p>
        </w:tc>
      </w:tr>
      <w:tr w:rsidR="005919AA" w:rsidRPr="008147B4" w14:paraId="3E5ABD6B" w14:textId="77777777" w:rsidTr="006F1503">
        <w:tc>
          <w:tcPr>
            <w:tcW w:w="7609" w:type="dxa"/>
          </w:tcPr>
          <w:p w14:paraId="5B5F86AE" w14:textId="77777777" w:rsidR="005919AA" w:rsidRPr="008147B4" w:rsidRDefault="005919AA" w:rsidP="008147B4">
            <w:pPr>
              <w:jc w:val="right"/>
              <w:rPr>
                <w:rFonts w:ascii="Arial" w:hAnsi="Arial" w:cs="Arial"/>
                <w:sz w:val="20"/>
                <w:szCs w:val="20"/>
              </w:rPr>
            </w:pPr>
            <w:r w:rsidRPr="008147B4">
              <w:rPr>
                <w:rFonts w:ascii="Arial" w:hAnsi="Arial" w:cs="Arial"/>
                <w:sz w:val="20"/>
                <w:szCs w:val="20"/>
              </w:rPr>
              <w:t xml:space="preserve">Report CDC Performance Measures Annually – Year One </w:t>
            </w:r>
          </w:p>
        </w:tc>
        <w:tc>
          <w:tcPr>
            <w:tcW w:w="1109" w:type="dxa"/>
          </w:tcPr>
          <w:p w14:paraId="7ABEAE87" w14:textId="77777777" w:rsidR="005919AA" w:rsidRPr="008147B4" w:rsidRDefault="005919AA" w:rsidP="008147B4">
            <w:pPr>
              <w:rPr>
                <w:rFonts w:ascii="Arial" w:hAnsi="Arial" w:cs="Arial"/>
                <w:sz w:val="20"/>
                <w:szCs w:val="20"/>
              </w:rPr>
            </w:pPr>
            <w:r w:rsidRPr="008147B4">
              <w:rPr>
                <w:rFonts w:ascii="Arial" w:hAnsi="Arial" w:cs="Arial"/>
                <w:sz w:val="20"/>
                <w:szCs w:val="20"/>
              </w:rPr>
              <w:t>EA</w:t>
            </w:r>
          </w:p>
        </w:tc>
        <w:tc>
          <w:tcPr>
            <w:tcW w:w="1109" w:type="dxa"/>
          </w:tcPr>
          <w:p w14:paraId="003A71C6" w14:textId="77777777" w:rsidR="005919AA" w:rsidRPr="008147B4" w:rsidRDefault="005919AA"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66469F50" w14:textId="12DA11E3" w:rsidR="005919AA" w:rsidRPr="008147B4" w:rsidRDefault="005919AA" w:rsidP="008147B4">
            <w:pPr>
              <w:rPr>
                <w:rFonts w:ascii="Arial" w:hAnsi="Arial" w:cs="Arial"/>
                <w:sz w:val="20"/>
                <w:szCs w:val="20"/>
              </w:rPr>
            </w:pPr>
            <w:r w:rsidRPr="008147B4">
              <w:rPr>
                <w:rFonts w:ascii="Arial" w:hAnsi="Arial" w:cs="Arial"/>
                <w:sz w:val="20"/>
                <w:szCs w:val="20"/>
              </w:rPr>
              <w:t>$</w:t>
            </w:r>
          </w:p>
        </w:tc>
      </w:tr>
      <w:tr w:rsidR="001D3603" w:rsidRPr="008147B4" w14:paraId="4D268904" w14:textId="77777777" w:rsidTr="006F1503">
        <w:tc>
          <w:tcPr>
            <w:tcW w:w="7609" w:type="dxa"/>
          </w:tcPr>
          <w:p w14:paraId="3A21874A"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Report CDC Performance Measures Annually – Year Two</w:t>
            </w:r>
          </w:p>
        </w:tc>
        <w:tc>
          <w:tcPr>
            <w:tcW w:w="1109" w:type="dxa"/>
          </w:tcPr>
          <w:p w14:paraId="334FFE6C"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1EE0353A"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6F9BF583" w14:textId="3F6F950C"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54D8EBD8" w14:textId="77777777" w:rsidTr="006F1503">
        <w:tc>
          <w:tcPr>
            <w:tcW w:w="7609" w:type="dxa"/>
          </w:tcPr>
          <w:p w14:paraId="5A6343FB"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Report CDC Performance Measures Annually – Year Three</w:t>
            </w:r>
          </w:p>
        </w:tc>
        <w:tc>
          <w:tcPr>
            <w:tcW w:w="1109" w:type="dxa"/>
          </w:tcPr>
          <w:p w14:paraId="2D33D2BF"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3828A5B4"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17DEAE7F" w14:textId="24D67C9C"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56AB246D" w14:textId="77777777" w:rsidTr="006F1503">
        <w:tc>
          <w:tcPr>
            <w:tcW w:w="7609" w:type="dxa"/>
          </w:tcPr>
          <w:p w14:paraId="20DC8FAB"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Report CDC Performance Measures Annually – Year Four</w:t>
            </w:r>
          </w:p>
        </w:tc>
        <w:tc>
          <w:tcPr>
            <w:tcW w:w="1109" w:type="dxa"/>
          </w:tcPr>
          <w:p w14:paraId="48805090"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7D9F7C0D"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0A96CFB6" w14:textId="40DAB6E5"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19E81242" w14:textId="77777777" w:rsidTr="006F1503">
        <w:tc>
          <w:tcPr>
            <w:tcW w:w="7609" w:type="dxa"/>
          </w:tcPr>
          <w:p w14:paraId="7EA142FC" w14:textId="2932B1F0" w:rsidR="001D3603" w:rsidRPr="008147B4" w:rsidRDefault="001D3603" w:rsidP="008147B4">
            <w:pPr>
              <w:jc w:val="right"/>
              <w:rPr>
                <w:rFonts w:ascii="Arial" w:hAnsi="Arial" w:cs="Arial"/>
                <w:sz w:val="20"/>
                <w:szCs w:val="20"/>
              </w:rPr>
            </w:pPr>
            <w:r>
              <w:rPr>
                <w:rFonts w:ascii="Arial" w:hAnsi="Arial" w:cs="Arial"/>
                <w:sz w:val="20"/>
                <w:szCs w:val="20"/>
              </w:rPr>
              <w:t>Commence and c</w:t>
            </w:r>
            <w:r w:rsidRPr="008147B4">
              <w:rPr>
                <w:rFonts w:ascii="Arial" w:hAnsi="Arial" w:cs="Arial"/>
                <w:sz w:val="20"/>
                <w:szCs w:val="20"/>
              </w:rPr>
              <w:t>omplete an in-depth evaluation of peer navigation – Year Three</w:t>
            </w:r>
            <w:r>
              <w:rPr>
                <w:rFonts w:ascii="Arial" w:hAnsi="Arial" w:cs="Arial"/>
                <w:sz w:val="20"/>
                <w:szCs w:val="20"/>
              </w:rPr>
              <w:t xml:space="preserve"> to Year Four</w:t>
            </w:r>
          </w:p>
        </w:tc>
        <w:tc>
          <w:tcPr>
            <w:tcW w:w="1109" w:type="dxa"/>
          </w:tcPr>
          <w:p w14:paraId="0B93B224"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3C25B478"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625960EB" w14:textId="4C1AB90B"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5A40D44C" w14:textId="77777777" w:rsidTr="006F1503">
        <w:tc>
          <w:tcPr>
            <w:tcW w:w="7609" w:type="dxa"/>
          </w:tcPr>
          <w:p w14:paraId="29A932AA" w14:textId="0F67AEE5" w:rsidR="001D3603" w:rsidRPr="008147B4" w:rsidRDefault="001D3603" w:rsidP="008147B4">
            <w:pPr>
              <w:jc w:val="right"/>
              <w:rPr>
                <w:rFonts w:ascii="Arial" w:hAnsi="Arial" w:cs="Arial"/>
                <w:sz w:val="20"/>
                <w:szCs w:val="20"/>
              </w:rPr>
            </w:pPr>
            <w:r w:rsidRPr="008147B4">
              <w:rPr>
                <w:rFonts w:ascii="Arial" w:hAnsi="Arial" w:cs="Arial"/>
                <w:sz w:val="20"/>
                <w:szCs w:val="20"/>
              </w:rPr>
              <w:t>Create a translational product</w:t>
            </w:r>
            <w:r>
              <w:rPr>
                <w:rFonts w:ascii="Arial" w:hAnsi="Arial" w:cs="Arial"/>
                <w:sz w:val="20"/>
                <w:szCs w:val="20"/>
              </w:rPr>
              <w:t xml:space="preserve"> – Year Four</w:t>
            </w:r>
          </w:p>
        </w:tc>
        <w:tc>
          <w:tcPr>
            <w:tcW w:w="1109" w:type="dxa"/>
          </w:tcPr>
          <w:p w14:paraId="5B096A0A"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1335EA03"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5BC972AA" w14:textId="17AC4081"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1E80EDC3" w14:textId="77777777" w:rsidTr="006F1503">
        <w:tc>
          <w:tcPr>
            <w:tcW w:w="7609" w:type="dxa"/>
          </w:tcPr>
          <w:p w14:paraId="05FE6508"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Review and revise the initial Evaluation Plan for - Year One</w:t>
            </w:r>
          </w:p>
        </w:tc>
        <w:tc>
          <w:tcPr>
            <w:tcW w:w="1109" w:type="dxa"/>
          </w:tcPr>
          <w:p w14:paraId="0B76907E"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5E91E82B"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641BEDDC" w14:textId="6092C3C4"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7BB56B9D" w14:textId="77777777" w:rsidTr="006F1503">
        <w:tc>
          <w:tcPr>
            <w:tcW w:w="7609" w:type="dxa"/>
          </w:tcPr>
          <w:p w14:paraId="532E0756"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Review and revise the previous year’s Evaluation Plan – Years Two</w:t>
            </w:r>
          </w:p>
        </w:tc>
        <w:tc>
          <w:tcPr>
            <w:tcW w:w="1109" w:type="dxa"/>
          </w:tcPr>
          <w:p w14:paraId="27DC629C"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4CBFB185"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2AA0F3CB" w14:textId="262CE941"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59995DDF" w14:textId="77777777" w:rsidTr="006F1503">
        <w:tc>
          <w:tcPr>
            <w:tcW w:w="7609" w:type="dxa"/>
          </w:tcPr>
          <w:p w14:paraId="79EE6110"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Review and revise the previous year’s Evaluation Plan – Years Three</w:t>
            </w:r>
          </w:p>
        </w:tc>
        <w:tc>
          <w:tcPr>
            <w:tcW w:w="1109" w:type="dxa"/>
          </w:tcPr>
          <w:p w14:paraId="490EACE8"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530C1121"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60BD4F55" w14:textId="51A902A8"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3FAF452B" w14:textId="77777777" w:rsidTr="006F1503">
        <w:tc>
          <w:tcPr>
            <w:tcW w:w="7609" w:type="dxa"/>
          </w:tcPr>
          <w:p w14:paraId="6BB326B9"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Review and revise the previous year’s Evaluation Plan – Years Four</w:t>
            </w:r>
          </w:p>
        </w:tc>
        <w:tc>
          <w:tcPr>
            <w:tcW w:w="1109" w:type="dxa"/>
          </w:tcPr>
          <w:p w14:paraId="52E18AEE"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319BB2E4"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257975F7" w14:textId="35D17D90"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5E298725" w14:textId="77777777" w:rsidTr="006F1503">
        <w:tc>
          <w:tcPr>
            <w:tcW w:w="7609" w:type="dxa"/>
          </w:tcPr>
          <w:p w14:paraId="41FD648D"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Complete annual progress report (APR) evaluation questions – Year One</w:t>
            </w:r>
          </w:p>
        </w:tc>
        <w:tc>
          <w:tcPr>
            <w:tcW w:w="1109" w:type="dxa"/>
          </w:tcPr>
          <w:p w14:paraId="31075E93"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02C3EFB8"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15FB20E4" w14:textId="432690DE"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08290A30" w14:textId="77777777" w:rsidTr="006F1503">
        <w:tc>
          <w:tcPr>
            <w:tcW w:w="7609" w:type="dxa"/>
          </w:tcPr>
          <w:p w14:paraId="7A3278BE"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Complete annual progress report (APR) evaluation questions – Year Two</w:t>
            </w:r>
          </w:p>
        </w:tc>
        <w:tc>
          <w:tcPr>
            <w:tcW w:w="1109" w:type="dxa"/>
          </w:tcPr>
          <w:p w14:paraId="7D4F1D36"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5F209B20"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76F74BEF" w14:textId="37BDFF73"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12163F75" w14:textId="77777777" w:rsidTr="006F1503">
        <w:tc>
          <w:tcPr>
            <w:tcW w:w="7609" w:type="dxa"/>
          </w:tcPr>
          <w:p w14:paraId="297883EB"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Complete annual progress report (APR) evaluation questions – Year Three</w:t>
            </w:r>
          </w:p>
        </w:tc>
        <w:tc>
          <w:tcPr>
            <w:tcW w:w="1109" w:type="dxa"/>
          </w:tcPr>
          <w:p w14:paraId="0F6995DB"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60A6B0F9"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3320F2FA" w14:textId="1F4F8DBA"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1D3603" w:rsidRPr="008147B4" w14:paraId="6DF16CE9" w14:textId="77777777" w:rsidTr="006F1503">
        <w:trPr>
          <w:trHeight w:val="56"/>
        </w:trPr>
        <w:tc>
          <w:tcPr>
            <w:tcW w:w="7609" w:type="dxa"/>
          </w:tcPr>
          <w:p w14:paraId="7A8D2EC9" w14:textId="77777777" w:rsidR="001D3603" w:rsidRPr="008147B4" w:rsidRDefault="001D3603" w:rsidP="008147B4">
            <w:pPr>
              <w:jc w:val="right"/>
              <w:rPr>
                <w:rFonts w:ascii="Arial" w:hAnsi="Arial" w:cs="Arial"/>
                <w:sz w:val="20"/>
                <w:szCs w:val="20"/>
              </w:rPr>
            </w:pPr>
            <w:r w:rsidRPr="008147B4">
              <w:rPr>
                <w:rFonts w:ascii="Arial" w:hAnsi="Arial" w:cs="Arial"/>
                <w:sz w:val="20"/>
                <w:szCs w:val="20"/>
              </w:rPr>
              <w:t>Complete annual progress report (APR) evaluation questions – Year Four</w:t>
            </w:r>
          </w:p>
        </w:tc>
        <w:tc>
          <w:tcPr>
            <w:tcW w:w="1109" w:type="dxa"/>
          </w:tcPr>
          <w:p w14:paraId="1548D992" w14:textId="77777777" w:rsidR="001D3603" w:rsidRPr="008147B4" w:rsidRDefault="001D3603" w:rsidP="008147B4">
            <w:pPr>
              <w:rPr>
                <w:rFonts w:ascii="Arial" w:hAnsi="Arial" w:cs="Arial"/>
                <w:sz w:val="20"/>
                <w:szCs w:val="20"/>
              </w:rPr>
            </w:pPr>
            <w:r w:rsidRPr="008147B4">
              <w:rPr>
                <w:rFonts w:ascii="Arial" w:hAnsi="Arial" w:cs="Arial"/>
                <w:sz w:val="20"/>
                <w:szCs w:val="20"/>
              </w:rPr>
              <w:t>EA</w:t>
            </w:r>
          </w:p>
        </w:tc>
        <w:tc>
          <w:tcPr>
            <w:tcW w:w="1109" w:type="dxa"/>
          </w:tcPr>
          <w:p w14:paraId="26CF75F4" w14:textId="77777777" w:rsidR="001D3603" w:rsidRPr="008147B4" w:rsidRDefault="001D3603" w:rsidP="008147B4">
            <w:pPr>
              <w:jc w:val="center"/>
              <w:rPr>
                <w:rFonts w:ascii="Arial" w:hAnsi="Arial" w:cs="Arial"/>
                <w:sz w:val="20"/>
                <w:szCs w:val="20"/>
              </w:rPr>
            </w:pPr>
            <w:r w:rsidRPr="008147B4">
              <w:rPr>
                <w:rFonts w:ascii="Arial" w:hAnsi="Arial" w:cs="Arial"/>
                <w:sz w:val="20"/>
                <w:szCs w:val="20"/>
              </w:rPr>
              <w:t>1</w:t>
            </w:r>
          </w:p>
        </w:tc>
        <w:tc>
          <w:tcPr>
            <w:tcW w:w="1508" w:type="dxa"/>
            <w:shd w:val="clear" w:color="auto" w:fill="FFFF00"/>
          </w:tcPr>
          <w:p w14:paraId="3EB9835D" w14:textId="34D9E7ED" w:rsidR="001D3603" w:rsidRPr="008147B4" w:rsidRDefault="001D3603" w:rsidP="008147B4">
            <w:pPr>
              <w:rPr>
                <w:rFonts w:ascii="Arial" w:hAnsi="Arial" w:cs="Arial"/>
                <w:sz w:val="20"/>
                <w:szCs w:val="20"/>
              </w:rPr>
            </w:pPr>
            <w:r w:rsidRPr="008147B4">
              <w:rPr>
                <w:rFonts w:ascii="Arial" w:hAnsi="Arial" w:cs="Arial"/>
                <w:sz w:val="20"/>
                <w:szCs w:val="20"/>
              </w:rPr>
              <w:t>$</w:t>
            </w:r>
          </w:p>
        </w:tc>
      </w:tr>
      <w:tr w:rsidR="008147B4" w:rsidRPr="008147B4" w14:paraId="502A3FB8" w14:textId="77777777" w:rsidTr="006F1503">
        <w:trPr>
          <w:trHeight w:val="56"/>
        </w:trPr>
        <w:tc>
          <w:tcPr>
            <w:tcW w:w="9827" w:type="dxa"/>
            <w:gridSpan w:val="3"/>
          </w:tcPr>
          <w:p w14:paraId="61EC1696" w14:textId="77777777" w:rsidR="008147B4" w:rsidRPr="008147B4" w:rsidRDefault="008147B4" w:rsidP="008147B4">
            <w:pPr>
              <w:jc w:val="right"/>
              <w:rPr>
                <w:rFonts w:ascii="Arial" w:hAnsi="Arial" w:cs="Arial"/>
              </w:rPr>
            </w:pPr>
            <w:r w:rsidRPr="008147B4">
              <w:rPr>
                <w:rFonts w:ascii="Arial" w:hAnsi="Arial" w:cs="Arial"/>
                <w:b/>
                <w:bCs/>
              </w:rPr>
              <w:t xml:space="preserve">Total Overall Cost </w:t>
            </w:r>
          </w:p>
        </w:tc>
        <w:tc>
          <w:tcPr>
            <w:tcW w:w="1508" w:type="dxa"/>
            <w:shd w:val="clear" w:color="auto" w:fill="FFFF00"/>
          </w:tcPr>
          <w:p w14:paraId="392B60B8" w14:textId="6D709A45" w:rsidR="008147B4" w:rsidRPr="008147B4" w:rsidRDefault="008147B4" w:rsidP="008147B4">
            <w:pPr>
              <w:rPr>
                <w:rFonts w:ascii="Arial" w:hAnsi="Arial" w:cs="Arial"/>
              </w:rPr>
            </w:pPr>
            <w:r w:rsidRPr="008147B4">
              <w:rPr>
                <w:rFonts w:ascii="Arial" w:hAnsi="Arial" w:cs="Arial"/>
              </w:rPr>
              <w:t>$</w:t>
            </w:r>
          </w:p>
        </w:tc>
      </w:tr>
    </w:tbl>
    <w:p w14:paraId="4EA7C533" w14:textId="77777777" w:rsidR="002B16BF" w:rsidRPr="008147B4" w:rsidRDefault="002B16BF" w:rsidP="00F226FD">
      <w:pPr>
        <w:rPr>
          <w:rFonts w:ascii="Arial" w:hAnsi="Arial" w:cs="Arial"/>
        </w:rPr>
      </w:pPr>
    </w:p>
    <w:sectPr w:rsidR="002B16BF" w:rsidRPr="008147B4" w:rsidSect="002B16B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3062" w14:textId="77777777" w:rsidR="00787B4A" w:rsidRDefault="00787B4A" w:rsidP="00787B4A">
      <w:pPr>
        <w:spacing w:after="0" w:line="240" w:lineRule="auto"/>
      </w:pPr>
      <w:r>
        <w:separator/>
      </w:r>
    </w:p>
  </w:endnote>
  <w:endnote w:type="continuationSeparator" w:id="0">
    <w:p w14:paraId="4AA466CE" w14:textId="77777777" w:rsidR="00787B4A" w:rsidRDefault="00787B4A" w:rsidP="0078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7BA6D" w14:textId="77777777" w:rsidR="00787B4A" w:rsidRDefault="00787B4A" w:rsidP="00787B4A">
      <w:pPr>
        <w:spacing w:after="0" w:line="240" w:lineRule="auto"/>
      </w:pPr>
      <w:r>
        <w:separator/>
      </w:r>
    </w:p>
  </w:footnote>
  <w:footnote w:type="continuationSeparator" w:id="0">
    <w:p w14:paraId="7EE46B7C" w14:textId="77777777" w:rsidR="00787B4A" w:rsidRDefault="00787B4A" w:rsidP="0078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BF"/>
    <w:rsid w:val="00046BCD"/>
    <w:rsid w:val="000515C3"/>
    <w:rsid w:val="000727D9"/>
    <w:rsid w:val="000805F3"/>
    <w:rsid w:val="00084011"/>
    <w:rsid w:val="00124FCC"/>
    <w:rsid w:val="001A14E6"/>
    <w:rsid w:val="001B6430"/>
    <w:rsid w:val="001D3603"/>
    <w:rsid w:val="001E0EBF"/>
    <w:rsid w:val="001E25C6"/>
    <w:rsid w:val="001F371F"/>
    <w:rsid w:val="002B16BF"/>
    <w:rsid w:val="00307E75"/>
    <w:rsid w:val="00323DFD"/>
    <w:rsid w:val="00343870"/>
    <w:rsid w:val="00397D5F"/>
    <w:rsid w:val="004F2F80"/>
    <w:rsid w:val="00514B46"/>
    <w:rsid w:val="005205D0"/>
    <w:rsid w:val="00520EDE"/>
    <w:rsid w:val="005919AA"/>
    <w:rsid w:val="005E39F8"/>
    <w:rsid w:val="00603C89"/>
    <w:rsid w:val="0061746C"/>
    <w:rsid w:val="00697ED6"/>
    <w:rsid w:val="006A40B1"/>
    <w:rsid w:val="006F1503"/>
    <w:rsid w:val="00787B4A"/>
    <w:rsid w:val="007A2AE4"/>
    <w:rsid w:val="008147B4"/>
    <w:rsid w:val="00877937"/>
    <w:rsid w:val="00953D73"/>
    <w:rsid w:val="009B2D26"/>
    <w:rsid w:val="009F00F5"/>
    <w:rsid w:val="00A54E73"/>
    <w:rsid w:val="00A609DE"/>
    <w:rsid w:val="00A667AF"/>
    <w:rsid w:val="00A91917"/>
    <w:rsid w:val="00AA0D03"/>
    <w:rsid w:val="00B31923"/>
    <w:rsid w:val="00BD5140"/>
    <w:rsid w:val="00C90B6C"/>
    <w:rsid w:val="00CD4684"/>
    <w:rsid w:val="00D6549F"/>
    <w:rsid w:val="00E3249F"/>
    <w:rsid w:val="00E76006"/>
    <w:rsid w:val="00E9072D"/>
    <w:rsid w:val="00ED1B6F"/>
    <w:rsid w:val="00EF2DBA"/>
    <w:rsid w:val="00F226FD"/>
    <w:rsid w:val="00F7758E"/>
    <w:rsid w:val="00FA70DA"/>
    <w:rsid w:val="00FD1598"/>
    <w:rsid w:val="00FE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DAAF"/>
  <w15:docId w15:val="{AB9C996A-B9A8-4605-A8C4-4E7AC124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3DFD"/>
    <w:rPr>
      <w:sz w:val="16"/>
      <w:szCs w:val="16"/>
    </w:rPr>
  </w:style>
  <w:style w:type="paragraph" w:styleId="CommentText">
    <w:name w:val="annotation text"/>
    <w:basedOn w:val="Normal"/>
    <w:link w:val="CommentTextChar"/>
    <w:uiPriority w:val="99"/>
    <w:unhideWhenUsed/>
    <w:rsid w:val="00323DF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23DF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4FCC"/>
    <w:rPr>
      <w:b/>
      <w:bCs/>
      <w:kern w:val="2"/>
      <w14:ligatures w14:val="standardContextual"/>
    </w:rPr>
  </w:style>
  <w:style w:type="character" w:customStyle="1" w:styleId="CommentSubjectChar">
    <w:name w:val="Comment Subject Char"/>
    <w:basedOn w:val="CommentTextChar"/>
    <w:link w:val="CommentSubject"/>
    <w:uiPriority w:val="99"/>
    <w:semiHidden/>
    <w:rsid w:val="00124FCC"/>
    <w:rPr>
      <w:b/>
      <w:bCs/>
      <w:kern w:val="0"/>
      <w:sz w:val="20"/>
      <w:szCs w:val="20"/>
      <w14:ligatures w14:val="none"/>
    </w:rPr>
  </w:style>
  <w:style w:type="paragraph" w:styleId="Header">
    <w:name w:val="header"/>
    <w:basedOn w:val="Normal"/>
    <w:link w:val="HeaderChar"/>
    <w:uiPriority w:val="99"/>
    <w:unhideWhenUsed/>
    <w:rsid w:val="0078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B4A"/>
  </w:style>
  <w:style w:type="paragraph" w:styleId="Footer">
    <w:name w:val="footer"/>
    <w:basedOn w:val="Normal"/>
    <w:link w:val="FooterChar"/>
    <w:uiPriority w:val="99"/>
    <w:unhideWhenUsed/>
    <w:rsid w:val="0078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Dhinesh Santhakumar</DisplayName>
        <AccountId>25445</AccountId>
        <AccountType/>
      </UserInfo>
    </Buyer>
    <Legal_x0020_Approval xmlns="e3709f45-ee57-4ddf-8078-855eb8d761aa" xsi:nil="true"/>
    <Programs xmlns="145fd85a-e86f-4392-ab15-fd3ffc15a3e1">Drug Overdose Prevention</Programs>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The Nebraska Department of Health and Human Services Drug Overdose Prevention program proposes to implement the nine OD2A strategies addressing drug overdoses and preventing misuse and abuse in Nebraska.  This Statement of Work (SOW) is being issued to provide program evaluation of the OD2A program, as required by CDC.  </DocumentSetDescription>
    <Backup_x0020_Buyer xmlns="e3709f45-ee57-4ddf-8078-855eb8d761aa" xsi:nil="true"/>
    <Stakeholders xmlns="145fd85a-e86f-4392-ab15-fd3ffc15a3e1">
      <UserInfo>
        <DisplayName>Davidson Wissing</DisplayName>
        <AccountId>17467</AccountId>
        <AccountType/>
      </UserInfo>
      <UserInfo>
        <DisplayName>Peg Ogea-Ginsburg</DisplayName>
        <AccountId>198</AccountId>
        <AccountType/>
      </UserInfo>
    </Stakeholders>
    <Release_x0020_Date xmlns="145fd85a-e86f-4392-ab15-fd3ffc15a3e1" xsi:nil="true"/>
    <Est._x0020__x0024__x0020_Amount xmlns="145fd85a-e86f-4392-ab15-fd3ffc15a3e1" xsi:nil="true"/>
    <Date_x0020_sent_x0020_to_x0020_DAS xmlns="e3709f45-ee57-4ddf-8078-855eb8d761aa" xsi:nil="true"/>
    <Funding_x0020_Source xmlns="145fd85a-e86f-4392-ab15-fd3ffc15a3e1">federal funds</Funding_x0020_Source>
    <Bid_x0020_Type xmlns="145fd85a-e86f-4392-ab15-fd3ffc15a3e1">RFP</Bid_x0020_Type>
    <RFP_x0020_Contacts xmlns="145fd85a-e86f-4392-ab15-fd3ffc15a3e1">
      <UserInfo>
        <DisplayName>Davidson Wissing</DisplayName>
        <AccountId>17467</AccountId>
        <AccountType/>
      </UserInfo>
      <UserInfo>
        <DisplayName>Peg Ogea-Ginsburg</DisplayName>
        <AccountId>198</AccountId>
        <AccountType/>
      </UserInfo>
    </RFP_x0020_Contacts>
    <DAS_x0020_Buyer xmlns="145fd85a-e86f-4392-ab15-fd3ffc15a3e1" xsi:nil="true"/>
    <RoutingRuleDescription xmlns="http://schemas.microsoft.com/sharepoint/v3" xsi:nil="true"/>
    <Cost_x0020_Avoidance xmlns="145fd85a-e86f-4392-ab15-fd3ffc15a3e1" xsi:nil="true"/>
    <Divisions xmlns="145fd85a-e86f-4392-ab15-fd3ffc15a3e1">
      <Value>Public Health</Value>
    </Divisions>
    <RFP_x0020_Status xmlns="145fd85a-e86f-4392-ab15-fd3ffc15a3e1">OK to Load</RFP_x0020_Status>
    <Target_x0020_Date xmlns="145fd85a-e86f-4392-ab15-fd3ffc15a3e1">2024-11-30T06:00:00+00:00</Target_x0020_Date>
    <Attachments_x003f_ xmlns="145fd85a-e86f-4392-ab15-fd3ffc15a3e1">Yes, Final Document</Attachments_x003f_>
    <SPB_x0020_Processed xmlns="145fd85a-e86f-4392-ab15-fd3ffc15a3e1">Agency</SPB_x0020_Processed>
    <Cost_x0020_Avoidance_x0020_Method xmlns="145fd85a-e86f-4392-ab15-fd3ffc15a3e1" xsi:nil="true"/>
    <Lead_x0020_OPG_x0020_Contact xmlns="e3709f45-ee57-4ddf-8078-855eb8d761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8B5E5-F3C9-47E2-9F35-453EE55A6189}">
  <ds:schemaRefs>
    <ds:schemaRef ds:uri="http://schemas.microsoft.com/office/2006/metadata/properties"/>
    <ds:schemaRef ds:uri="http://schemas.microsoft.com/office/infopath/2007/PartnerControls"/>
    <ds:schemaRef ds:uri="145fd85a-e86f-4392-ab15-fd3ffc15a3e1"/>
    <ds:schemaRef ds:uri="e3709f45-ee57-4ddf-8078-855eb8d761aa"/>
    <ds:schemaRef ds:uri="http://schemas.microsoft.com/sharepoint/v3"/>
  </ds:schemaRefs>
</ds:datastoreItem>
</file>

<file path=customXml/itemProps2.xml><?xml version="1.0" encoding="utf-8"?>
<ds:datastoreItem xmlns:ds="http://schemas.openxmlformats.org/officeDocument/2006/customXml" ds:itemID="{6C7AC468-EA16-4154-BE44-1E36D762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98187-CA36-4D0F-87DF-DAB1D6A13EF8}">
  <ds:schemaRefs>
    <ds:schemaRef ds:uri="http://schemas.microsoft.com/office/2006/metadata/customXsn"/>
  </ds:schemaRefs>
</ds:datastoreItem>
</file>

<file path=customXml/itemProps4.xml><?xml version="1.0" encoding="utf-8"?>
<ds:datastoreItem xmlns:ds="http://schemas.openxmlformats.org/officeDocument/2006/customXml" ds:itemID="{09CB0B75-3A8C-4DB8-B2E2-1C80A45BE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Ideus, Suzanne</dc:creator>
  <cp:keywords/>
  <dc:description/>
  <cp:lastModifiedBy>Suzanne Ideus</cp:lastModifiedBy>
  <cp:revision>6</cp:revision>
  <dcterms:created xsi:type="dcterms:W3CDTF">2024-12-02T20:29:00Z</dcterms:created>
  <dcterms:modified xsi:type="dcterms:W3CDTF">2024-12-09T18:05:00Z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